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Dals-Ed kommunfullmäktige</w:t>
      </w:r>
    </w:p>
    <w:p>
      <w:pPr>
        <w:pStyle w:val="Heading1"/>
      </w:pPr>
      <w:r>
        <w:t xml:space="preserve">Energieffektivisering av kommunala fastigheter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Dals-Ed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Kommunens fastigheter har enligt energideklarationer 2024 hög energianvändning. Effektivisering ger lägre kostnader och bidrar till klimatmål samt lokala gröna jobb.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Dals-Ed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antar en energieffektiviseringsplan för kommunala fastigheter 2027–2030.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minst tre fastigheter per år ska genomgå energikartläggning och åtgärder.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budgetmedel avsätts för investeringar som ger minst 15 procents energibesparing.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årlig redovisning av energianvändning och besparingar lämnas till kommunfullmäktige.</w:t>
      </w:r>
    </w:p>
    <w:p>
      <w:pPr>
        <w:spacing w:before="360"/>
      </w:pPr>
    </w:p>
    <w:p>
      <w:r>
        <w:t xml:space="preserve">Dals-Ed,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Dals-Ed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2026-07-13T23:46:47.506Z</dcterms:created>
  <dcterms:modified xsi:type="dcterms:W3CDTF">2026-07-13T23:46:47.506Z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